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0736" w14:textId="27371DD2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F22B70">
        <w:rPr>
          <w:b/>
          <w:color w:val="21A1B6"/>
          <w:sz w:val="40"/>
          <w:szCs w:val="40"/>
        </w:rPr>
        <w:t>BOYANUP HOCKEY CLUB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 xml:space="preserve">, </w:t>
      </w:r>
      <w:proofErr w:type="gramStart"/>
      <w:r w:rsidR="00841D3F">
        <w:rPr>
          <w:rFonts w:cs="Calibri"/>
          <w:sz w:val="22"/>
          <w:szCs w:val="22"/>
        </w:rPr>
        <w:t>functions</w:t>
      </w:r>
      <w:proofErr w:type="gramEnd"/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 xml:space="preserve">, </w:t>
      </w:r>
      <w:proofErr w:type="gramStart"/>
      <w:r w:rsidR="008448D4">
        <w:rPr>
          <w:rFonts w:cs="Calibri"/>
          <w:sz w:val="22"/>
          <w:szCs w:val="22"/>
        </w:rPr>
        <w:t>volunteers</w:t>
      </w:r>
      <w:proofErr w:type="gramEnd"/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 xml:space="preserve">games, special events, </w:t>
      </w:r>
      <w:proofErr w:type="gramStart"/>
      <w:r w:rsidRPr="007E34D0">
        <w:rPr>
          <w:rFonts w:asciiTheme="minorHAnsi" w:hAnsiTheme="minorHAnsi"/>
          <w:sz w:val="22"/>
          <w:szCs w:val="22"/>
        </w:rPr>
        <w:t>functions</w:t>
      </w:r>
      <w:proofErr w:type="gramEnd"/>
      <w:r w:rsidRPr="007E34D0">
        <w:rPr>
          <w:rFonts w:asciiTheme="minorHAnsi" w:hAnsiTheme="minorHAnsi"/>
          <w:sz w:val="22"/>
          <w:szCs w:val="22"/>
        </w:rPr>
        <w:t xml:space="preserve">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 xml:space="preserve">club, our </w:t>
      </w:r>
      <w:proofErr w:type="gramStart"/>
      <w:r w:rsidR="00600578">
        <w:rPr>
          <w:rFonts w:asciiTheme="minorHAnsi" w:hAnsiTheme="minorHAnsi"/>
          <w:sz w:val="22"/>
          <w:szCs w:val="22"/>
        </w:rPr>
        <w:t>sponsors</w:t>
      </w:r>
      <w:proofErr w:type="gramEnd"/>
      <w:r w:rsidR="00600578">
        <w:rPr>
          <w:rFonts w:asciiTheme="minorHAnsi" w:hAnsiTheme="minorHAnsi"/>
          <w:sz w:val="22"/>
          <w:szCs w:val="22"/>
        </w:rPr>
        <w:t xml:space="preserve">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54D07EDF" w:rsidR="002A5D6D" w:rsidRPr="002A5D6D" w:rsidRDefault="00F22B70" w:rsidP="002A5D6D">
      <w:pPr>
        <w:spacing w:after="80"/>
        <w:rPr>
          <w:rFonts w:cs="Calibri"/>
          <w:sz w:val="22"/>
          <w:szCs w:val="22"/>
        </w:rPr>
      </w:pPr>
      <w:r w:rsidRPr="00F22B70">
        <w:rPr>
          <w:rFonts w:cs="Calibri"/>
          <w:bCs/>
          <w:sz w:val="22"/>
          <w:szCs w:val="22"/>
        </w:rPr>
        <w:t>Boyanup Hockey Club</w:t>
      </w:r>
      <w:r w:rsidR="00B05181">
        <w:rPr>
          <w:rFonts w:cs="Calibri"/>
          <w:b/>
          <w:sz w:val="22"/>
          <w:szCs w:val="22"/>
        </w:rPr>
        <w:t xml:space="preserve"> </w:t>
      </w:r>
      <w:r w:rsidR="002A5D6D" w:rsidRPr="002A5D6D">
        <w:rPr>
          <w:rFonts w:cs="Calibri"/>
          <w:sz w:val="22"/>
          <w:szCs w:val="22"/>
        </w:rPr>
        <w:t>recognises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areas make smoking less visible and less </w:t>
      </w:r>
      <w:proofErr w:type="gramStart"/>
      <w:r w:rsidRPr="002A5D6D">
        <w:rPr>
          <w:rFonts w:asciiTheme="minorHAnsi" w:hAnsiTheme="minorHAnsi"/>
          <w:sz w:val="22"/>
          <w:szCs w:val="22"/>
        </w:rPr>
        <w:t>acceptable</w:t>
      </w:r>
      <w:r w:rsidR="003C19F7">
        <w:rPr>
          <w:rFonts w:asciiTheme="minorHAnsi" w:hAnsiTheme="minorHAnsi"/>
          <w:sz w:val="22"/>
          <w:szCs w:val="22"/>
        </w:rPr>
        <w:t>, and</w:t>
      </w:r>
      <w:proofErr w:type="gramEnd"/>
      <w:r w:rsidR="003C19F7">
        <w:rPr>
          <w:rFonts w:asciiTheme="minorHAnsi" w:hAnsiTheme="minorHAnsi"/>
          <w:sz w:val="22"/>
          <w:szCs w:val="22"/>
        </w:rPr>
        <w:t xml:space="preserve">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</w:t>
      </w:r>
      <w:proofErr w:type="gramStart"/>
      <w:r w:rsidRPr="002A5D6D">
        <w:rPr>
          <w:rFonts w:cs="Calibri"/>
          <w:sz w:val="22"/>
          <w:szCs w:val="22"/>
        </w:rPr>
        <w:t>state, and</w:t>
      </w:r>
      <w:proofErr w:type="gramEnd"/>
      <w:r w:rsidRPr="002A5D6D">
        <w:rPr>
          <w:rFonts w:cs="Calibri"/>
          <w:sz w:val="22"/>
          <w:szCs w:val="22"/>
        </w:rPr>
        <w:t xml:space="preserve">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>Our club recognises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Quitline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proofErr w:type="gramStart"/>
      <w:r w:rsidR="007C5477">
        <w:rPr>
          <w:rFonts w:cs="Calibri"/>
          <w:sz w:val="22"/>
          <w:szCs w:val="22"/>
        </w:rPr>
        <w:t>volunteers</w:t>
      </w:r>
      <w:proofErr w:type="gramEnd"/>
      <w:r w:rsidR="007C5477">
        <w:rPr>
          <w:rFonts w:cs="Calibri"/>
          <w:sz w:val="22"/>
          <w:szCs w:val="22"/>
        </w:rPr>
        <w:t xml:space="preserve">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160AE2">
        <w:rPr>
          <w:rFonts w:asciiTheme="minorHAnsi" w:hAnsiTheme="minorHAnsi"/>
          <w:sz w:val="22"/>
          <w:szCs w:val="22"/>
        </w:rPr>
        <w:t>e-cigarettes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Many young people hold parents, teammates and coaches in high esteem and smoking around them sends the message that smoking is okay. </w:t>
      </w:r>
      <w:proofErr w:type="gramStart"/>
      <w:r w:rsidRPr="00EF5C3B">
        <w:rPr>
          <w:rFonts w:asciiTheme="minorHAnsi" w:hAnsiTheme="minorHAnsi"/>
          <w:sz w:val="22"/>
          <w:szCs w:val="22"/>
        </w:rPr>
        <w:t>Therefor</w:t>
      </w:r>
      <w:r w:rsidR="007F07CB">
        <w:rPr>
          <w:rFonts w:asciiTheme="minorHAnsi" w:hAnsiTheme="minorHAnsi"/>
          <w:sz w:val="22"/>
          <w:szCs w:val="22"/>
        </w:rPr>
        <w:t>e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 xml:space="preserve">no images of club volunteers, members, officials, </w:t>
      </w:r>
      <w:proofErr w:type="gramStart"/>
      <w:r w:rsidRPr="00EF5C3B">
        <w:rPr>
          <w:rFonts w:asciiTheme="minorHAnsi" w:hAnsiTheme="minorHAnsi"/>
          <w:sz w:val="22"/>
          <w:szCs w:val="22"/>
        </w:rPr>
        <w:t>coaches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690EA34D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="00F22B70" w:rsidRPr="00F22B70">
        <w:rPr>
          <w:rFonts w:cs="Calibri"/>
          <w:bCs/>
          <w:sz w:val="22"/>
          <w:szCs w:val="22"/>
        </w:rPr>
        <w:t>home ground</w:t>
      </w:r>
      <w:r w:rsidR="00F22B70">
        <w:rPr>
          <w:rFonts w:cs="Calibri"/>
          <w:b/>
          <w:sz w:val="22"/>
          <w:szCs w:val="22"/>
        </w:rPr>
        <w:t xml:space="preserve"> </w:t>
      </w:r>
      <w:r w:rsidRPr="00EF5C3B">
        <w:rPr>
          <w:rFonts w:cs="Calibri"/>
          <w:sz w:val="22"/>
          <w:szCs w:val="22"/>
        </w:rPr>
        <w:t>to be smoke free: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All spectator areas (standing and seated, </w:t>
      </w:r>
      <w:proofErr w:type="gramStart"/>
      <w:r w:rsidRPr="00EF5C3B">
        <w:rPr>
          <w:rFonts w:asciiTheme="minorHAnsi" w:hAnsiTheme="minorHAnsi"/>
          <w:sz w:val="22"/>
          <w:szCs w:val="22"/>
        </w:rPr>
        <w:t>covered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uncovered)</w:t>
      </w:r>
    </w:p>
    <w:p w14:paraId="315091D7" w14:textId="4824D5A3" w:rsidR="00EF5C3B" w:rsidRPr="00EF5C3B" w:rsidRDefault="00F22B70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EF5C3B" w:rsidRPr="00EF5C3B">
        <w:rPr>
          <w:rFonts w:asciiTheme="minorHAnsi" w:hAnsiTheme="minorHAnsi"/>
          <w:sz w:val="22"/>
          <w:szCs w:val="22"/>
        </w:rPr>
        <w:t>ll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EF5C3B" w:rsidRPr="00EF5C3B">
        <w:rPr>
          <w:rFonts w:asciiTheme="minorHAnsi" w:hAnsiTheme="minorHAnsi"/>
          <w:sz w:val="22"/>
          <w:szCs w:val="22"/>
        </w:rPr>
        <w:t>eating</w:t>
      </w:r>
      <w:proofErr w:type="gramEnd"/>
      <w:r w:rsidR="00EF5C3B" w:rsidRPr="00EF5C3B">
        <w:rPr>
          <w:rFonts w:asciiTheme="minorHAnsi" w:hAnsiTheme="minorHAnsi"/>
          <w:sz w:val="22"/>
          <w:szCs w:val="22"/>
        </w:rPr>
        <w:t xml:space="preserve">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0E32F7F6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F22B70">
        <w:rPr>
          <w:rFonts w:cs="Calibri"/>
          <w:b/>
          <w:sz w:val="22"/>
          <w:szCs w:val="22"/>
        </w:rPr>
        <w:t xml:space="preserve">the </w:t>
      </w:r>
      <w:r w:rsidR="00F22B70" w:rsidRPr="00F22B70">
        <w:rPr>
          <w:rFonts w:cs="Calibri"/>
          <w:bCs/>
          <w:sz w:val="22"/>
          <w:szCs w:val="22"/>
        </w:rPr>
        <w:t>Bunbury Hockey Stadium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lastRenderedPageBreak/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7777777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Pr="00692A8A">
        <w:rPr>
          <w:b/>
          <w:sz w:val="22"/>
          <w:szCs w:val="22"/>
        </w:rPr>
        <w:t>[insert day/month/year]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C2AB26A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</w:p>
    <w:p w14:paraId="7D0B660B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3956B686" w14:textId="77777777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8F00" w14:textId="77777777" w:rsidR="00871630" w:rsidRDefault="00871630" w:rsidP="00A275B9">
      <w:r>
        <w:separator/>
      </w:r>
    </w:p>
  </w:endnote>
  <w:endnote w:type="continuationSeparator" w:id="0">
    <w:p w14:paraId="29B7C89C" w14:textId="77777777" w:rsidR="00871630" w:rsidRDefault="00871630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0B5A59CA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2909923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550899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040086C7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50899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3EF14" w14:textId="77777777" w:rsidR="00871630" w:rsidRDefault="00871630" w:rsidP="00A275B9">
      <w:r>
        <w:separator/>
      </w:r>
    </w:p>
  </w:footnote>
  <w:footnote w:type="continuationSeparator" w:id="0">
    <w:p w14:paraId="15E0872D" w14:textId="77777777" w:rsidR="00871630" w:rsidRDefault="00871630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67B2" w14:textId="139811A5" w:rsidR="0098306D" w:rsidRDefault="00F22B70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4BE9B4A4" wp14:editId="4330B101">
          <wp:simplePos x="0" y="0"/>
          <wp:positionH relativeFrom="column">
            <wp:posOffset>-400050</wp:posOffset>
          </wp:positionH>
          <wp:positionV relativeFrom="paragraph">
            <wp:posOffset>-267335</wp:posOffset>
          </wp:positionV>
          <wp:extent cx="1981200" cy="1071880"/>
          <wp:effectExtent l="0" t="0" r="0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h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1AC85CAD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71630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51D8"/>
    <w:rsid w:val="00A04D5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2B70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E6F1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655695-5316-4F94-B117-FAA3038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Dean Lomax</cp:lastModifiedBy>
  <cp:revision>2</cp:revision>
  <cp:lastPrinted>2017-03-23T03:42:00Z</cp:lastPrinted>
  <dcterms:created xsi:type="dcterms:W3CDTF">2020-07-05T11:42:00Z</dcterms:created>
  <dcterms:modified xsi:type="dcterms:W3CDTF">2020-07-05T11:42:00Z</dcterms:modified>
</cp:coreProperties>
</file>